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0E7BCEF8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075E27F7" w14:textId="77777777" w:rsidR="003023E0" w:rsidRDefault="003023E0" w:rsidP="003023E0">
      <w:pPr>
        <w:autoSpaceDE w:val="0"/>
        <w:autoSpaceDN w:val="0"/>
        <w:adjustRightInd w:val="0"/>
        <w:ind w:rightChars="567" w:right="1361"/>
      </w:pPr>
    </w:p>
    <w:p w14:paraId="6FDD9A93" w14:textId="200BFFB9" w:rsidR="004E2945" w:rsidRDefault="003023E0" w:rsidP="003023E0">
      <w:pPr>
        <w:autoSpaceDE w:val="0"/>
        <w:autoSpaceDN w:val="0"/>
        <w:adjustRightInd w:val="0"/>
        <w:ind w:rightChars="567" w:right="1361"/>
      </w:pPr>
      <w:r>
        <w:t>Druskininkų „Ryto“ gimnazijos</w:t>
      </w:r>
      <w:r w:rsidR="004E2945" w:rsidRPr="00034099">
        <w:rPr>
          <w:sz w:val="19"/>
          <w:szCs w:val="19"/>
        </w:rPr>
        <w:t xml:space="preserve"> </w:t>
      </w:r>
      <w:r w:rsidR="004E2945" w:rsidRPr="00313212">
        <w:t>direktoriui</w:t>
      </w:r>
    </w:p>
    <w:p w14:paraId="7D401FAC" w14:textId="77777777" w:rsidR="003023E0" w:rsidRPr="003023E0" w:rsidRDefault="003023E0" w:rsidP="003023E0">
      <w:pPr>
        <w:autoSpaceDE w:val="0"/>
        <w:autoSpaceDN w:val="0"/>
        <w:adjustRightInd w:val="0"/>
        <w:ind w:rightChars="567" w:right="1361"/>
      </w:pP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 xml:space="preserve">valstybinių brandos </w:t>
      </w:r>
      <w:r>
        <w:rPr>
          <w:sz w:val="21"/>
          <w:szCs w:val="21"/>
        </w:rPr>
        <w:lastRenderedPageBreak/>
        <w:t>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023E0"/>
    <w:rsid w:val="00336BDE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Ptakauskienė Tautvilė</cp:lastModifiedBy>
  <cp:revision>12</cp:revision>
  <cp:lastPrinted>2023-09-20T06:15:00Z</cp:lastPrinted>
  <dcterms:created xsi:type="dcterms:W3CDTF">2025-11-20T09:06:00Z</dcterms:created>
  <dcterms:modified xsi:type="dcterms:W3CDTF">2025-11-28T07:33:00Z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